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0DB" w:rsidRPr="0095760D" w:rsidRDefault="00C860DB" w:rsidP="00C860DB">
      <w:pPr>
        <w:pStyle w:val="Default"/>
        <w:rPr>
          <w:b/>
          <w:bCs/>
          <w:sz w:val="22"/>
          <w:szCs w:val="22"/>
        </w:rPr>
      </w:pPr>
      <w:r w:rsidRPr="0095760D">
        <w:rPr>
          <w:b/>
          <w:bCs/>
          <w:sz w:val="22"/>
          <w:szCs w:val="22"/>
        </w:rPr>
        <w:t xml:space="preserve">Contexte </w:t>
      </w:r>
    </w:p>
    <w:p w:rsidR="00C860DB" w:rsidRPr="0095760D" w:rsidRDefault="00C860DB" w:rsidP="00C860DB">
      <w:pPr>
        <w:rPr>
          <w:rFonts w:cs="Arial"/>
          <w:szCs w:val="22"/>
        </w:rPr>
      </w:pPr>
    </w:p>
    <w:p w:rsidR="00C860DB" w:rsidRPr="0095760D" w:rsidRDefault="00C860DB" w:rsidP="00C860DB">
      <w:pPr>
        <w:pStyle w:val="Default"/>
        <w:rPr>
          <w:sz w:val="22"/>
          <w:szCs w:val="22"/>
        </w:rPr>
      </w:pPr>
      <w:r w:rsidRPr="00424BC1">
        <w:rPr>
          <w:sz w:val="22"/>
          <w:szCs w:val="22"/>
        </w:rPr>
        <w:t>Le nombre d'incendies sur les navires transportant des véhicules électriq</w:t>
      </w:r>
      <w:r w:rsidRPr="0095760D">
        <w:rPr>
          <w:sz w:val="22"/>
          <w:szCs w:val="22"/>
        </w:rPr>
        <w:t xml:space="preserve">ues a augmenté de façon significative ces </w:t>
      </w:r>
      <w:r w:rsidRPr="00424BC1">
        <w:rPr>
          <w:sz w:val="22"/>
          <w:szCs w:val="22"/>
        </w:rPr>
        <w:t>dernières années devenant un domaine d'attention majeur pour le transport maritime. Les contraintes opérationnelles liées à la prévention, la détection et la lutte c</w:t>
      </w:r>
      <w:r w:rsidRPr="0095760D">
        <w:rPr>
          <w:sz w:val="22"/>
          <w:szCs w:val="22"/>
        </w:rPr>
        <w:t>ontre l'incendie à bord d’un na</w:t>
      </w:r>
      <w:r w:rsidRPr="00424BC1">
        <w:rPr>
          <w:sz w:val="22"/>
          <w:szCs w:val="22"/>
        </w:rPr>
        <w:t>vire rendent encore plus complexe la gestion de ces risques et requièrent une approche spécifique. En effet, les incendies de véhicules équipés de batterie Li-Ion représentent un danger plus élevé en raison du phénomène d’emballement thermique qui ren</w:t>
      </w:r>
      <w:r w:rsidRPr="0095760D">
        <w:rPr>
          <w:sz w:val="22"/>
          <w:szCs w:val="22"/>
        </w:rPr>
        <w:t>d le feu difficile à maîtriser.</w:t>
      </w:r>
    </w:p>
    <w:p w:rsidR="00C860DB" w:rsidRPr="00424BC1" w:rsidRDefault="00C860DB" w:rsidP="00C860DB">
      <w:pPr>
        <w:pStyle w:val="Default"/>
        <w:rPr>
          <w:sz w:val="22"/>
          <w:szCs w:val="22"/>
        </w:rPr>
      </w:pPr>
    </w:p>
    <w:p w:rsidR="00C860DB" w:rsidRPr="00C25585" w:rsidRDefault="00C860DB" w:rsidP="00C860DB">
      <w:pPr>
        <w:tabs>
          <w:tab w:val="clear" w:pos="851"/>
        </w:tabs>
        <w:autoSpaceDE w:val="0"/>
        <w:autoSpaceDN w:val="0"/>
        <w:adjustRightInd w:val="0"/>
        <w:jc w:val="left"/>
        <w:rPr>
          <w:rFonts w:cs="Arial"/>
          <w:color w:val="000000"/>
          <w:szCs w:val="22"/>
          <w:lang w:eastAsia="zh-CN"/>
        </w:rPr>
      </w:pPr>
      <w:r w:rsidRPr="00C25585">
        <w:rPr>
          <w:rFonts w:cs="Arial"/>
          <w:color w:val="000000"/>
          <w:szCs w:val="22"/>
          <w:lang w:eastAsia="zh-CN"/>
        </w:rPr>
        <w:t>Dans le cadre d’une réflexion interne au sein du bureau de la Sécurité des navires (STEN2) de la Direction Générale des Affaires Maritimes de la Pêche et de l’aquaculture (DGAMPA), l’étude qui vous est présentée ici, a été commandée au</w:t>
      </w:r>
      <w:r w:rsidRPr="00C25585">
        <w:rPr>
          <w:rFonts w:cs="Arial"/>
          <w:color w:val="333333"/>
          <w:szCs w:val="22"/>
          <w:shd w:val="clear" w:color="auto" w:fill="FFFFFF"/>
        </w:rPr>
        <w:t xml:space="preserve"> Centre d'études et d'expertise sur les risques, l'environnement, la mobilité et l'aménagement (Cerema).</w:t>
      </w:r>
    </w:p>
    <w:p w:rsidR="00C860DB" w:rsidRPr="00C25585" w:rsidRDefault="00C860DB" w:rsidP="00C860DB">
      <w:pPr>
        <w:tabs>
          <w:tab w:val="clear" w:pos="851"/>
        </w:tabs>
        <w:autoSpaceDE w:val="0"/>
        <w:autoSpaceDN w:val="0"/>
        <w:adjustRightInd w:val="0"/>
        <w:jc w:val="left"/>
        <w:rPr>
          <w:rFonts w:cs="Arial"/>
          <w:color w:val="000000"/>
          <w:szCs w:val="22"/>
          <w:lang w:eastAsia="zh-CN"/>
        </w:rPr>
      </w:pPr>
    </w:p>
    <w:p w:rsidR="00C860DB" w:rsidRDefault="00C860DB" w:rsidP="00C860DB">
      <w:pPr>
        <w:autoSpaceDN w:val="0"/>
        <w:spacing w:after="160"/>
        <w:rPr>
          <w:rFonts w:eastAsia="Calibri" w:cs="Arial"/>
          <w:b/>
          <w:szCs w:val="22"/>
          <w:shd w:val="clear" w:color="auto" w:fill="FFFFFF"/>
        </w:rPr>
      </w:pPr>
      <w:r w:rsidRPr="007B5EC5">
        <w:rPr>
          <w:rFonts w:eastAsia="Calibri" w:cs="Arial"/>
          <w:b/>
          <w:szCs w:val="22"/>
          <w:shd w:val="clear" w:color="auto" w:fill="FFFFFF"/>
        </w:rPr>
        <w:t>Résultats</w:t>
      </w:r>
    </w:p>
    <w:p w:rsidR="00C860DB" w:rsidRDefault="00C860DB" w:rsidP="00C860DB">
      <w:r>
        <w:t>Cette étude, se basant sur la littérature s’intéressant aux défis posés par la présence véhicules électriques à bord des navires rouliers à passagers s’efforce de réaliser une synthèse des connaissances pouvant être mises à profit par les compagnies maritimes exploitant des navires rouliers à passagers dans le cadre de l’application du code ISM en attente que des règles soient élaborées à l’échelon international et européen.</w:t>
      </w:r>
    </w:p>
    <w:p w:rsidR="00C860DB" w:rsidRDefault="00C860DB" w:rsidP="00C860DB"/>
    <w:p w:rsidR="00C860DB" w:rsidRDefault="00C860DB" w:rsidP="00C860DB">
      <w:r>
        <w:t>Si l’étude évite d’aborder les évolutions réglementaires, il apparaît que la considération apportée à plusieurs projets de recherche permettrait aux compagnies maritimes d’adapter rapidement leur système de management de la sécurité en avance de phase des travaux en cours à l’OMI.</w:t>
      </w:r>
    </w:p>
    <w:p w:rsidR="00C860DB" w:rsidRDefault="00C860DB" w:rsidP="00C860DB"/>
    <w:p w:rsidR="00C860DB" w:rsidRDefault="00C860DB" w:rsidP="00C860DB">
      <w:r>
        <w:t xml:space="preserve">Privilégiant une organisation qui peut être reprise dans le cadre d’un référentiel de formation, l’étude détaille dans un premier temps les différentes technologies des véhicules électriques et s’intéresse aussi aux technologies des cellules et à leur chimie. </w:t>
      </w:r>
    </w:p>
    <w:p w:rsidR="00C860DB" w:rsidRDefault="00C860DB" w:rsidP="00C860DB"/>
    <w:p w:rsidR="00C860DB" w:rsidRDefault="00C860DB" w:rsidP="00C860DB">
      <w:r>
        <w:t>Si les causes d’un emballement thermique d’une cellule sont connues, la sévérité de l’évènement dépend de nombreux facteurs dont certains sont utiles de connaître à des fins de prévention du risque de survenance de l’emballement thermique ou de limitation de ses conséquences sur un pont roulier.</w:t>
      </w:r>
    </w:p>
    <w:p w:rsidR="00C860DB" w:rsidRDefault="00C860DB" w:rsidP="00C860DB"/>
    <w:p w:rsidR="00C860DB" w:rsidRDefault="00C860DB" w:rsidP="00C860DB">
      <w:r>
        <w:t xml:space="preserve">L’étude met aussi en évidence que le risque de survenance d’un emballement thermique d’un véhicule électrique est actuellement faible par rapport à d’autres risques d’incendie sur le pont roulier. Si des mesures préventives peuvent être entreprises, elles devraient d’abord s’appuyer sur l’identification des véhicules, a minima leur recensement, permettant par la suite, si l’exploitant le décide, de dédier une zone du pont roulier aux véhicules électriques. S’il existe certaines limites à cette politique, ses bénéfices invitent les exploitants à réfléchir à cette option. </w:t>
      </w:r>
    </w:p>
    <w:p w:rsidR="00C860DB" w:rsidRDefault="00C860DB" w:rsidP="00C860DB"/>
    <w:p w:rsidR="00C860DB" w:rsidRDefault="00C860DB" w:rsidP="00C860DB">
      <w:r>
        <w:t xml:space="preserve">L’étude souligne par ailleurs la faiblesse des moyens de détection actuels et de possibles pistes d’amélioration tout comme la nécessité, par ailleurs, de densifier les moyens de lutte existant tout en adoptant de nouveaux matériels dédiés aux spécificités de l’incendie d’un véhicule électrique. </w:t>
      </w:r>
    </w:p>
    <w:p w:rsidR="00C860DB" w:rsidRDefault="00C860DB" w:rsidP="00C860DB"/>
    <w:p w:rsidR="00C860DB" w:rsidRDefault="00C860DB" w:rsidP="00C860DB">
      <w:r>
        <w:t xml:space="preserve">En termes opérationnels, le renforcement de la surveillance pourrait pallier une partie des lacunes de la détection incendie ce qui implique des changements organisationnels notamment pour les rondes effectuées sur le pont roulier. Cela va de pair avec une meilleure formation des rondiers et la mise à disposition d’équipements supplémentaires. </w:t>
      </w:r>
    </w:p>
    <w:p w:rsidR="00C860DB" w:rsidRDefault="00C860DB" w:rsidP="00C860DB"/>
    <w:p w:rsidR="00C860DB" w:rsidRDefault="00C860DB" w:rsidP="00C860DB">
      <w:r>
        <w:t xml:space="preserve">Comme dans tous les incendies, il est prouvé que les premières réactions conditionnent la maîtrise de l’incendie. L’étude met donc l’accent sur l’importance d’une première intervention a minima pour communiquer à la passerelle des informations qui vont déterminer la gestion du sinistre. </w:t>
      </w:r>
    </w:p>
    <w:p w:rsidR="00C860DB" w:rsidRDefault="00C860DB" w:rsidP="00C860DB"/>
    <w:p w:rsidR="00C860DB" w:rsidRDefault="00C860DB" w:rsidP="00C860DB">
      <w:r>
        <w:t xml:space="preserve">Concernant les méthodes de lutte, l’étude s’appuie dans un premier temps sur l’expérience des services de secours terrestres puis discute des méthodes de lutte qui seraient adaptées à l’environnement d’un pont roulier.  </w:t>
      </w:r>
    </w:p>
    <w:p w:rsidR="00C860DB" w:rsidRDefault="00C860DB" w:rsidP="00C860DB"/>
    <w:p w:rsidR="00C860DB" w:rsidRDefault="00C860DB" w:rsidP="00C860DB">
      <w:r>
        <w:t xml:space="preserve">Le risque incendie pouvant aussi être étudié sous l’angle sociotechnique, un chapitre de l’étude recense les différents acteurs internes et externes à la compagnie pouvant interagir pour une meilleure gestion du risque. </w:t>
      </w:r>
    </w:p>
    <w:p w:rsidR="00C860DB" w:rsidRDefault="00C860DB" w:rsidP="00C860DB"/>
    <w:p w:rsidR="00C860DB" w:rsidRDefault="00C860DB" w:rsidP="00C860DB">
      <w:r>
        <w:t xml:space="preserve">Enfin, le sujet de la recharge à bord est aussi abordé quand bien même il représente un coût et des risques supplémentaires qui vont à l’encontre des conclusions de l’étude. </w:t>
      </w:r>
    </w:p>
    <w:p w:rsidR="00C860DB" w:rsidRDefault="00C860DB" w:rsidP="00C860DB">
      <w:pPr>
        <w:tabs>
          <w:tab w:val="clear" w:pos="851"/>
        </w:tabs>
        <w:autoSpaceDE w:val="0"/>
        <w:autoSpaceDN w:val="0"/>
        <w:adjustRightInd w:val="0"/>
        <w:jc w:val="left"/>
        <w:rPr>
          <w:rFonts w:cs="Arial"/>
          <w:color w:val="000000"/>
          <w:szCs w:val="22"/>
          <w:lang w:eastAsia="zh-CN"/>
        </w:rPr>
      </w:pPr>
    </w:p>
    <w:p w:rsidR="00C860DB" w:rsidRPr="0095760D" w:rsidRDefault="00C860DB" w:rsidP="00C860DB">
      <w:pPr>
        <w:tabs>
          <w:tab w:val="clear" w:pos="851"/>
        </w:tabs>
        <w:autoSpaceDE w:val="0"/>
        <w:autoSpaceDN w:val="0"/>
        <w:adjustRightInd w:val="0"/>
        <w:jc w:val="left"/>
        <w:rPr>
          <w:rFonts w:cs="Arial"/>
          <w:color w:val="000000"/>
          <w:szCs w:val="22"/>
          <w:lang w:eastAsia="zh-CN"/>
        </w:rPr>
      </w:pPr>
      <w:r>
        <w:rPr>
          <w:bCs/>
          <w:szCs w:val="22"/>
        </w:rPr>
        <w:t>Cette é</w:t>
      </w:r>
      <w:r w:rsidRPr="00B05D36">
        <w:rPr>
          <w:bCs/>
          <w:szCs w:val="22"/>
        </w:rPr>
        <w:t>tude portant sur les risques inhérents au transport de véhicules et autres engins électriques de mobilité sur des navires rouliers à passagers</w:t>
      </w:r>
      <w:r>
        <w:rPr>
          <w:bCs/>
          <w:szCs w:val="22"/>
        </w:rPr>
        <w:t xml:space="preserve"> </w:t>
      </w:r>
      <w:r>
        <w:rPr>
          <w:bCs/>
          <w:szCs w:val="22"/>
        </w:rPr>
        <w:t>est disponible ci-dessous en français</w:t>
      </w:r>
      <w:bookmarkStart w:id="0" w:name="_GoBack"/>
      <w:bookmarkEnd w:id="0"/>
      <w:r>
        <w:rPr>
          <w:bCs/>
          <w:szCs w:val="22"/>
        </w:rPr>
        <w:t xml:space="preserve"> et en anglais. </w:t>
      </w:r>
    </w:p>
    <w:p w:rsidR="00A92DE5" w:rsidRDefault="00A92DE5"/>
    <w:sectPr w:rsidR="00A92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75"/>
    <w:rsid w:val="003C7075"/>
    <w:rsid w:val="00A92DE5"/>
    <w:rsid w:val="00C86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39B3"/>
  <w15:chartTrackingRefBased/>
  <w15:docId w15:val="{2F502CC7-51A8-419C-82AD-C60D7B02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DB"/>
    <w:pPr>
      <w:tabs>
        <w:tab w:val="left" w:pos="851"/>
      </w:tabs>
      <w:spacing w:after="0" w:line="240" w:lineRule="auto"/>
      <w:jc w:val="both"/>
    </w:pPr>
    <w:rPr>
      <w:rFonts w:ascii="Arial" w:eastAsia="Times New Roman" w:hAnsi="Arial"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860DB"/>
    <w:pPr>
      <w:autoSpaceDE w:val="0"/>
      <w:autoSpaceDN w:val="0"/>
      <w:adjustRightInd w:val="0"/>
      <w:spacing w:after="0" w:line="240" w:lineRule="auto"/>
    </w:pPr>
    <w:rPr>
      <w:rFonts w:ascii="Arial" w:eastAsia="Times New Roma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3868</Characters>
  <Application>Microsoft Office Word</Application>
  <DocSecurity>0</DocSecurity>
  <Lines>32</Lines>
  <Paragraphs>9</Paragraphs>
  <ScaleCrop>false</ScaleCrop>
  <Company>MTES</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DEMEILLERS Emmanuel</dc:creator>
  <cp:keywords/>
  <dc:description/>
  <cp:lastModifiedBy>DEMEILLERS Emmanuel</cp:lastModifiedBy>
  <cp:revision>2</cp:revision>
  <dcterms:created xsi:type="dcterms:W3CDTF">2025-11-26T09:03:00Z</dcterms:created>
  <dcterms:modified xsi:type="dcterms:W3CDTF">2025-11-26T09:05:00Z</dcterms:modified>
</cp:coreProperties>
</file>